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7D40" w:rsidRDefault="0056179B">
      <w:pPr>
        <w:jc w:val="center"/>
      </w:pPr>
      <w:r>
        <w:rPr>
          <w:noProof/>
        </w:rPr>
        <w:drawing>
          <wp:anchor distT="0" distB="0" distL="0" distR="114300" simplePos="0" relativeHeight="5" behindDoc="0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4477385</wp:posOffset>
            </wp:positionV>
            <wp:extent cx="2860675" cy="1069975"/>
            <wp:effectExtent l="0" t="0" r="0" b="0"/>
            <wp:wrapSquare wrapText="largest"/>
            <wp:docPr id="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Lévy-</w:t>
      </w:r>
      <w:r w:rsidR="0032782B">
        <w:rPr>
          <w:b/>
          <w:sz w:val="32"/>
        </w:rPr>
        <w:t>repülés a kvarkanyagban</w:t>
      </w:r>
    </w:p>
    <w:p w:rsidR="00FF7D40" w:rsidRDefault="0056179B">
      <w:pPr>
        <w:jc w:val="center"/>
        <w:rPr>
          <w:sz w:val="28"/>
        </w:rPr>
      </w:pPr>
      <w:r>
        <w:rPr>
          <w:i/>
          <w:sz w:val="28"/>
        </w:rPr>
        <w:t>Részecskekorrelác</w:t>
      </w:r>
      <w:r w:rsidR="0032782B">
        <w:rPr>
          <w:i/>
          <w:sz w:val="28"/>
        </w:rPr>
        <w:t>iókkal vizsgálták, miként mozognak</w:t>
      </w:r>
      <w:r>
        <w:rPr>
          <w:i/>
          <w:sz w:val="28"/>
        </w:rPr>
        <w:t xml:space="preserve"> a részecskék az ősanyagban</w:t>
      </w:r>
    </w:p>
    <w:p w:rsidR="00FF7D40" w:rsidRDefault="0056179B">
      <w:pPr>
        <w:jc w:val="center"/>
        <w:rPr>
          <w:sz w:val="28"/>
        </w:rPr>
      </w:pPr>
      <w:r>
        <w:rPr>
          <w:sz w:val="28"/>
        </w:rPr>
        <w:t>2018. május 14.</w:t>
      </w:r>
    </w:p>
    <w:p w:rsidR="00FF7D40" w:rsidRDefault="0056179B">
      <w:pPr>
        <w:jc w:val="both"/>
      </w:pPr>
      <w:r>
        <w:rPr>
          <w:noProof/>
        </w:rPr>
        <w:drawing>
          <wp:anchor distT="0" distB="7620" distL="0" distR="114300" simplePos="0" relativeHeight="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914650" cy="2964180"/>
            <wp:effectExtent l="0" t="0" r="0" b="0"/>
            <wp:wrapSquare wrapText="bothSides"/>
            <wp:docPr id="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Magyar kutatók nagy nemzetközi együttműködésbe csatlakozva igen é</w:t>
      </w:r>
      <w:r w:rsidR="0032782B">
        <w:rPr>
          <w:b/>
        </w:rPr>
        <w:t xml:space="preserve">rdekes jelenséget mutattak ki: a </w:t>
      </w:r>
      <w:r>
        <w:rPr>
          <w:b/>
        </w:rPr>
        <w:t xml:space="preserve">vízi </w:t>
      </w:r>
      <w:r w:rsidR="0032782B">
        <w:rPr>
          <w:b/>
        </w:rPr>
        <w:t xml:space="preserve">ragadozók mozgásában, a </w:t>
      </w:r>
      <w:r>
        <w:rPr>
          <w:b/>
        </w:rPr>
        <w:t xml:space="preserve">tőzsdei folyamatokban </w:t>
      </w:r>
      <w:r w:rsidR="0032782B">
        <w:rPr>
          <w:b/>
        </w:rPr>
        <w:t>vagy</w:t>
      </w:r>
      <w:r>
        <w:rPr>
          <w:b/>
        </w:rPr>
        <w:t xml:space="preserve"> a földrengések leírásában is</w:t>
      </w:r>
      <w:r w:rsidR="0032782B">
        <w:rPr>
          <w:b/>
        </w:rPr>
        <w:t xml:space="preserve"> megjelenő Lévy-repülés, avagy</w:t>
      </w:r>
      <w:r>
        <w:rPr>
          <w:b/>
        </w:rPr>
        <w:t xml:space="preserve"> Lévy-f</w:t>
      </w:r>
      <w:r w:rsidR="0032782B">
        <w:rPr>
          <w:b/>
        </w:rPr>
        <w:t>olyamat jeleit ezúttal az ultra</w:t>
      </w:r>
      <w:r>
        <w:rPr>
          <w:b/>
        </w:rPr>
        <w:t xml:space="preserve">relativisztikus atommagok ütközése nyomán létrejövő „őslevesben”, azaz a kvarkok tökéletes </w:t>
      </w:r>
      <w:proofErr w:type="spellStart"/>
      <w:r>
        <w:rPr>
          <w:b/>
        </w:rPr>
        <w:t>folyadékában</w:t>
      </w:r>
      <w:proofErr w:type="spellEnd"/>
      <w:r>
        <w:rPr>
          <w:b/>
        </w:rPr>
        <w:t xml:space="preserve"> figyelték meg. Részletes méréseik egybevágnak azokkal a korábbi, magyar kutatók által elért eredményekkel</w:t>
      </w:r>
      <w:r w:rsidR="0032782B">
        <w:rPr>
          <w:b/>
        </w:rPr>
        <w:t xml:space="preserve"> is</w:t>
      </w:r>
      <w:r>
        <w:rPr>
          <w:b/>
        </w:rPr>
        <w:t>, mely</w:t>
      </w:r>
      <w:r w:rsidR="0032782B">
        <w:rPr>
          <w:b/>
        </w:rPr>
        <w:t>ek</w:t>
      </w:r>
      <w:r>
        <w:rPr>
          <w:b/>
        </w:rPr>
        <w:t xml:space="preserve"> szerint egyes részecskék ebbe az őslevesbe, a kvarkfolyadékba mártva</w:t>
      </w:r>
      <w:r w:rsidR="0032782B">
        <w:rPr>
          <w:b/>
        </w:rPr>
        <w:t xml:space="preserve"> –</w:t>
      </w:r>
      <w:r>
        <w:rPr>
          <w:b/>
        </w:rPr>
        <w:t xml:space="preserve"> szinte</w:t>
      </w:r>
      <w:r w:rsidR="0032782B">
        <w:rPr>
          <w:b/>
        </w:rPr>
        <w:t xml:space="preserve"> </w:t>
      </w:r>
      <w:r>
        <w:rPr>
          <w:b/>
        </w:rPr>
        <w:t>Arkhimédész törvényének eleget téve</w:t>
      </w:r>
      <w:r w:rsidR="0032782B">
        <w:rPr>
          <w:b/>
        </w:rPr>
        <w:t xml:space="preserve"> –</w:t>
      </w:r>
      <w:r>
        <w:rPr>
          <w:b/>
        </w:rPr>
        <w:t xml:space="preserve"> tömegük jelentős részét elvesztik.</w:t>
      </w:r>
    </w:p>
    <w:p w:rsidR="00FF7D40" w:rsidRDefault="0056179B">
      <w:pPr>
        <w:jc w:val="both"/>
      </w:pPr>
      <w:r>
        <w:t xml:space="preserve">A nagyenergiás részecskegyorsítóknál – a Relativisztikus Nehézion-ütköztetőnél (RHIC) és a Nagy </w:t>
      </w:r>
      <w:proofErr w:type="spellStart"/>
      <w:r>
        <w:t>Hadronütköztetőné</w:t>
      </w:r>
      <w:r w:rsidR="0032782B">
        <w:t>l</w:t>
      </w:r>
      <w:proofErr w:type="spellEnd"/>
      <w:r w:rsidR="0032782B">
        <w:t xml:space="preserve"> (LHC) – végzett kísérleteknek</w:t>
      </w:r>
      <w:r>
        <w:t xml:space="preserve"> az utóbbi 10-15 évben gyűjtött adatai arra utalnak, hogy ultrarelativisztikus nehézion-ütközések során egy közel tökéletes folyadék halmazállapotú kvarkanyag, szakmai nevén az erősen kölcsönható kvark-</w:t>
      </w:r>
      <w:proofErr w:type="spellStart"/>
      <w:r>
        <w:t>gluon</w:t>
      </w:r>
      <w:proofErr w:type="spellEnd"/>
      <w:r>
        <w:t xml:space="preserve"> plazma alakul ki. Ez az ember által mesterségesen előállított legforróbb anyag, amely természetes körülmények között az </w:t>
      </w:r>
      <w:r w:rsidR="0032782B">
        <w:t>ő</w:t>
      </w:r>
      <w:r>
        <w:t xml:space="preserve">srobbanás utáni első néhány </w:t>
      </w:r>
      <w:proofErr w:type="spellStart"/>
      <w:r>
        <w:t>mikromásodpercben</w:t>
      </w:r>
      <w:proofErr w:type="spellEnd"/>
      <w:r>
        <w:t xml:space="preserve"> </w:t>
      </w:r>
      <w:r w:rsidR="0032782B">
        <w:t>volt jelen</w:t>
      </w:r>
      <w:r>
        <w:t>, és akkor kitöltötte</w:t>
      </w:r>
      <w:r w:rsidR="0032782B">
        <w:t xml:space="preserve"> az egész Világegyetemet.</w:t>
      </w:r>
    </w:p>
    <w:p w:rsidR="00FF7D40" w:rsidRDefault="0056179B">
      <w:pPr>
        <w:jc w:val="both"/>
      </w:pPr>
      <w:r>
        <w:t xml:space="preserve">A részecskegyorsítókban ezt az Ősanyagot újra elő tudjuk állítani: az ütközési folyamat elején a hideg atommagok (nehézionok) ütköznek egymással, majd felforr az ősleves, amely a szempillantás töredéke alatt felrobban, lehűl, és újra kifagy. Az őslevesből a kifagyás során összetett részecskék, </w:t>
      </w:r>
      <w:proofErr w:type="spellStart"/>
      <w:r>
        <w:t>hadronok</w:t>
      </w:r>
      <w:proofErr w:type="spellEnd"/>
      <w:r>
        <w:t xml:space="preserve"> keletkeznek, ezeket figyeltük meg az ütközés körül elhelyezett detektorokkal. A kvarkanyag térbeli és időbeli szerkezetét kvantumelméleti, részecske-korrelációs technikákkal lehet feltérképezni. A módszer lényege, hogy a beérkező </w:t>
      </w:r>
      <w:proofErr w:type="spellStart"/>
      <w:r>
        <w:t>hadronok</w:t>
      </w:r>
      <w:proofErr w:type="spellEnd"/>
      <w:r>
        <w:t xml:space="preserve"> lendületének korrelációi kvantumstatisztikai okokból elárulják az őket létrehozó anyag szerkezetét. A jellegzetes </w:t>
      </w:r>
      <w:proofErr w:type="spellStart"/>
      <w:r>
        <w:t>femtométeres</w:t>
      </w:r>
      <w:proofErr w:type="spellEnd"/>
      <w:r>
        <w:t xml:space="preserve"> tartomány miatt ezt a területet </w:t>
      </w:r>
      <w:proofErr w:type="spellStart"/>
      <w:r>
        <w:t>femtoszkópiának</w:t>
      </w:r>
      <w:proofErr w:type="spellEnd"/>
      <w:r>
        <w:t xml:space="preserve"> is nevezik.</w:t>
      </w:r>
      <w:r>
        <w:rPr>
          <w:b/>
        </w:rPr>
        <w:t xml:space="preserve"> </w:t>
      </w:r>
    </w:p>
    <w:p w:rsidR="00FF7D40" w:rsidRDefault="0056179B">
      <w:pPr>
        <w:jc w:val="center"/>
      </w:pPr>
      <w:r>
        <w:rPr>
          <w:noProof/>
        </w:rPr>
        <w:drawing>
          <wp:inline distT="0" distB="0" distL="0" distR="0">
            <wp:extent cx="3409950" cy="1443355"/>
            <wp:effectExtent l="0" t="0" r="0" b="0"/>
            <wp:docPr id="3" name="Ké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4155" cy="1520825"/>
            <wp:effectExtent l="0" t="0" r="0" b="0"/>
            <wp:docPr id="4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D40" w:rsidRDefault="0056179B">
      <w:pPr>
        <w:jc w:val="both"/>
      </w:pPr>
      <w:r>
        <w:t xml:space="preserve">Az elmúlt évtizedekben a </w:t>
      </w:r>
      <w:proofErr w:type="spellStart"/>
      <w:r>
        <w:t>femtoszkópiának</w:t>
      </w:r>
      <w:proofErr w:type="spellEnd"/>
      <w:r>
        <w:t xml:space="preserve"> igen nagy hagyománya alakult ki Magyarországon. Ezt mi sem jelzi jobban, mint az, hogy a terület „</w:t>
      </w:r>
      <w:hyperlink r:id="rId9">
        <w:r>
          <w:rPr>
            <w:rStyle w:val="Internet-hivatkozs"/>
          </w:rPr>
          <w:t xml:space="preserve">Workshop </w:t>
        </w:r>
        <w:proofErr w:type="spellStart"/>
        <w:r>
          <w:rPr>
            <w:rStyle w:val="Internet-hivatkozs"/>
          </w:rPr>
          <w:t>on</w:t>
        </w:r>
        <w:proofErr w:type="spellEnd"/>
        <w:r>
          <w:rPr>
            <w:rStyle w:val="Internet-hivatkozs"/>
          </w:rPr>
          <w:t xml:space="preserve"> </w:t>
        </w:r>
        <w:proofErr w:type="spellStart"/>
        <w:r>
          <w:rPr>
            <w:rStyle w:val="Internet-hivatkozs"/>
          </w:rPr>
          <w:t>Particle</w:t>
        </w:r>
        <w:proofErr w:type="spellEnd"/>
        <w:r>
          <w:rPr>
            <w:rStyle w:val="Internet-hivatkozs"/>
          </w:rPr>
          <w:t xml:space="preserve"> </w:t>
        </w:r>
        <w:proofErr w:type="spellStart"/>
        <w:r>
          <w:rPr>
            <w:rStyle w:val="Internet-hivatkozs"/>
          </w:rPr>
          <w:t>Correlations</w:t>
        </w:r>
        <w:proofErr w:type="spellEnd"/>
        <w:r>
          <w:rPr>
            <w:rStyle w:val="Internet-hivatkozs"/>
          </w:rPr>
          <w:t xml:space="preserve"> and Femtoscopy</w:t>
        </w:r>
      </w:hyperlink>
      <w:r>
        <w:t xml:space="preserve">” című világkonferencia-sorozatának jubileumi, 10. konferenciája éppen Magyarországon került megrendezésre. Az eseményt Gyöngyösön, az Eszterházy Károly Egyetem jogelődjén, a Károly Róbert Főiskolán rendeztük meg, az MTA Wigner Fizikai Kutatóközpont és az Eötvös Loránd Tudományegyetem kutatóinak együttműködésével és közreműködésével. Ezen intézményekben Csörgő Tamás, Novák Tamás és Csanád Máté vezetésével végeznek </w:t>
      </w:r>
      <w:proofErr w:type="spellStart"/>
      <w:r>
        <w:t>femtoszkópiai</w:t>
      </w:r>
      <w:proofErr w:type="spellEnd"/>
      <w:r>
        <w:t xml:space="preserve"> kutatásokat, elméleti és kísérleti módszerekkel egyaránt.</w:t>
      </w:r>
    </w:p>
    <w:p w:rsidR="00FF7D40" w:rsidRDefault="0056179B">
      <w:pPr>
        <w:jc w:val="both"/>
      </w:pPr>
      <w:r>
        <w:t xml:space="preserve">A magyar kutatók immár másfél évtizede vesznek részt a RHIC PHENIX </w:t>
      </w:r>
      <w:r w:rsidR="0032782B">
        <w:t xml:space="preserve">kísérleti </w:t>
      </w:r>
      <w:r>
        <w:t xml:space="preserve">együttműködésében, így többek között az erősen kölcsönható anyag felfedezésének is részesei voltak, illetve legutóbb a </w:t>
      </w:r>
      <w:hyperlink r:id="rId10">
        <w:r>
          <w:rPr>
            <w:rStyle w:val="Internet-hivatkozs"/>
          </w:rPr>
          <w:t xml:space="preserve">kvarkanyag-cseppekre utaló </w:t>
        </w:r>
        <w:r>
          <w:rPr>
            <w:rStyle w:val="Internet-hivatkozs"/>
          </w:rPr>
          <w:lastRenderedPageBreak/>
          <w:t>megfigyelésekben</w:t>
        </w:r>
      </w:hyperlink>
      <w:r>
        <w:t xml:space="preserve"> is szerepük volt. </w:t>
      </w:r>
      <w:proofErr w:type="spellStart"/>
      <w:r>
        <w:t>Femtoszkópiai</w:t>
      </w:r>
      <w:proofErr w:type="spellEnd"/>
      <w:r>
        <w:t xml:space="preserve"> kutatásaik tárgya a mag-mag ütközésekben keletkező kvarkanyag téridőbeli struktúrájának feltárása volt. Ehhez az egész más területekről ismert Lévy-folyamatot vették alapul, ugyanis a kvarkokból keletkező </w:t>
      </w:r>
      <w:proofErr w:type="spellStart"/>
      <w:r>
        <w:t>hadronok</w:t>
      </w:r>
      <w:proofErr w:type="spellEnd"/>
      <w:r>
        <w:t xml:space="preserve"> a közeg hűlése során egyre szabadabban </w:t>
      </w:r>
      <w:r w:rsidR="0032782B">
        <w:t>mozoghatnak</w:t>
      </w:r>
      <w:r>
        <w:t xml:space="preserve"> így ténylegesen néha igen nagy távolságokat tehetnek meg ütközés nélkül. Ezt a folyamatot anomális diffúziónak is nevezik, ennek következtében a megfigyelt végállapotban Lévy-eloszlás jöhet létre. Hasonló ehhez az óceáni ragadozók mozgása is, amelyek néha igen nagy távolságot tesznek meg</w:t>
      </w:r>
      <w:r w:rsidR="0032782B">
        <w:t>,</w:t>
      </w:r>
      <w:r>
        <w:t xml:space="preserve"> amíg </w:t>
      </w:r>
      <w:r w:rsidR="0032782B">
        <w:t>zsákmányban gazdag területre</w:t>
      </w:r>
      <w:r>
        <w:t xml:space="preserve"> bukkannak. A </w:t>
      </w:r>
      <w:proofErr w:type="spellStart"/>
      <w:r>
        <w:t>femtoszkópiában</w:t>
      </w:r>
      <w:proofErr w:type="spellEnd"/>
      <w:r>
        <w:t xml:space="preserve"> korábban szokásos Gauss-eloszlás feltételezése a halrajok mozgása esetében azzal lenne egyenértékű, ha az óceánt egyenletesen töltenék be a zsákmányállatok. A Lévy-eloszlás tulajdonképpen az ettől való eltérést is jelzi. Végeredményben a Lévy-eloszlás sokkal inkább kiterjedt, mint a Gauss-eloszlás – szaknyelven: exponenciális helyett hatványfüggvényszerű lecsengése van. </w:t>
      </w:r>
    </w:p>
    <w:p w:rsidR="00FF7D40" w:rsidRDefault="0032782B">
      <w:pPr>
        <w:jc w:val="both"/>
        <w:rPr>
          <w:b/>
        </w:rPr>
      </w:pPr>
      <w:r>
        <w:rPr>
          <w:noProof/>
        </w:rPr>
        <w:drawing>
          <wp:anchor distT="0" distB="1905" distL="0" distR="114300" simplePos="0" relativeHeight="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990975" cy="1769745"/>
            <wp:effectExtent l="0" t="0" r="9525" b="1905"/>
            <wp:wrapSquare wrapText="bothSides"/>
            <wp:docPr id="5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6179B">
        <w:rPr>
          <w:b/>
        </w:rPr>
        <w:t xml:space="preserve">A magyar kutatók eredményei igazolták a feltevés helyességét, a kvarkanyagból keletkező </w:t>
      </w:r>
      <w:proofErr w:type="spellStart"/>
      <w:r w:rsidR="0056179B">
        <w:rPr>
          <w:b/>
        </w:rPr>
        <w:t>hadronok</w:t>
      </w:r>
      <w:proofErr w:type="spellEnd"/>
      <w:r w:rsidR="0056179B">
        <w:rPr>
          <w:b/>
        </w:rPr>
        <w:t xml:space="preserve"> eloszlása valóban Lévy-eloszlást követ. A Lévy-eloszlás egyik oka az is lehet, hogy a táguló közegben a </w:t>
      </w:r>
      <w:proofErr w:type="spellStart"/>
      <w:r w:rsidR="0056179B">
        <w:rPr>
          <w:b/>
        </w:rPr>
        <w:t>hadronok</w:t>
      </w:r>
      <w:proofErr w:type="spellEnd"/>
      <w:r w:rsidR="0056179B">
        <w:rPr>
          <w:b/>
        </w:rPr>
        <w:t xml:space="preserve"> egyre nagyobb utat tehetnek meg ütközés nélkül, és így a Gauss-eloszlásra vezető centrális határeloszlás-tétel („nagy számok törvénye”) helyett ennek általánosítása lesz érvényes. Ez azt is jelenti, hogy a korábbi mérések, amelyek Lévy helyett Gauss-eloszlás feltételezésével mérték meg a kvarkanyag téridőbeli struktúráját, minden bizonnyal újra elvégzendők és pontosítandók. A PHENIX kísérlet cikke a bírálók szerint </w:t>
      </w:r>
      <w:r>
        <w:rPr>
          <w:b/>
        </w:rPr>
        <w:t>fordulatot</w:t>
      </w:r>
      <w:r w:rsidR="0056179B">
        <w:rPr>
          <w:b/>
        </w:rPr>
        <w:t xml:space="preserve"> jelent a nagyenergiás nehézion-fizika </w:t>
      </w:r>
      <w:proofErr w:type="spellStart"/>
      <w:r w:rsidR="0056179B">
        <w:rPr>
          <w:b/>
        </w:rPr>
        <w:t>femtoszkópiai</w:t>
      </w:r>
      <w:proofErr w:type="spellEnd"/>
      <w:r w:rsidR="0056179B">
        <w:rPr>
          <w:b/>
        </w:rPr>
        <w:t xml:space="preserve"> mérései területén: a jövőbeli ezirányú kutatások kiindulópontja lehet. </w:t>
      </w:r>
      <w:r w:rsidR="007B08B1">
        <w:rPr>
          <w:b/>
        </w:rPr>
        <w:t>A szintén magyar vezetéssel (</w:t>
      </w:r>
      <w:proofErr w:type="spellStart"/>
      <w:r w:rsidR="007B08B1">
        <w:rPr>
          <w:b/>
        </w:rPr>
        <w:t>Siklér</w:t>
      </w:r>
      <w:proofErr w:type="spellEnd"/>
      <w:r w:rsidR="007B08B1">
        <w:rPr>
          <w:b/>
        </w:rPr>
        <w:t xml:space="preserve"> Ferenc, MTA Wigner FK) az LHC CMS kísérletében készült hasonló, és a Gausstól való eltérést szintén mutató </w:t>
      </w:r>
      <w:bookmarkStart w:id="0" w:name="_GoBack"/>
      <w:bookmarkEnd w:id="0"/>
      <w:r w:rsidR="007B08B1">
        <w:rPr>
          <w:b/>
        </w:rPr>
        <w:t xml:space="preserve">analízist a PHENIX-ével egyszerre fogadták el közlésre. </w:t>
      </w:r>
      <w:r w:rsidR="0056179B" w:rsidRPr="0056179B">
        <w:rPr>
          <w:b/>
        </w:rPr>
        <w:t>Ez a felfedezés azért is érdekes, mert az eloszlás pontos ismeretében a kvarkanya</w:t>
      </w:r>
      <w:r w:rsidR="0056179B">
        <w:rPr>
          <w:b/>
        </w:rPr>
        <w:t xml:space="preserve">g (és a belőle keletkező </w:t>
      </w:r>
      <w:proofErr w:type="spellStart"/>
      <w:r w:rsidR="0056179B">
        <w:rPr>
          <w:b/>
        </w:rPr>
        <w:t>hadron</w:t>
      </w:r>
      <w:r w:rsidR="0056179B" w:rsidRPr="0056179B">
        <w:rPr>
          <w:b/>
        </w:rPr>
        <w:t>gáz</w:t>
      </w:r>
      <w:proofErr w:type="spellEnd"/>
      <w:r w:rsidR="0056179B" w:rsidRPr="0056179B">
        <w:rPr>
          <w:b/>
        </w:rPr>
        <w:t>) egyéb tulajdonságaira is igen pontosan következtethetünk.</w:t>
      </w:r>
    </w:p>
    <w:p w:rsidR="0056179B" w:rsidRDefault="0056179B" w:rsidP="0056179B">
      <w:pPr>
        <w:jc w:val="center"/>
      </w:pPr>
      <w:r>
        <w:rPr>
          <w:i/>
          <w:sz w:val="28"/>
        </w:rPr>
        <w:t xml:space="preserve">Kvantumszimmetria és </w:t>
      </w:r>
      <w:proofErr w:type="spellStart"/>
      <w:r>
        <w:rPr>
          <w:i/>
          <w:sz w:val="28"/>
        </w:rPr>
        <w:t>hadronfogyás</w:t>
      </w:r>
      <w:proofErr w:type="spellEnd"/>
    </w:p>
    <w:p w:rsidR="00FF7D40" w:rsidRDefault="0056179B">
      <w:pPr>
        <w:jc w:val="both"/>
      </w:pPr>
      <w:r>
        <w:rPr>
          <w:noProof/>
        </w:rPr>
        <w:drawing>
          <wp:anchor distT="18415" distB="23495" distL="0" distR="133350" simplePos="0" relativeHeight="3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3238500" cy="2247900"/>
            <wp:effectExtent l="0" t="0" r="0" b="0"/>
            <wp:wrapSquare wrapText="bothSides"/>
            <wp:docPr id="6" name="Ké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A kvarkanyag egyik fontos paramétere például az, hogy a belőle létrejövő </w:t>
      </w:r>
      <w:proofErr w:type="spellStart"/>
      <w:r>
        <w:t>hadronok</w:t>
      </w:r>
      <w:proofErr w:type="spellEnd"/>
      <w:r>
        <w:t xml:space="preserve"> mekkora része keletkezik közvetlenül az „ősanyag” robbanásából, illetve mekkora részük származik instabil részecskék bomlásából. </w:t>
      </w:r>
      <w:r w:rsidRPr="0056179B">
        <w:rPr>
          <w:b/>
        </w:rPr>
        <w:t>Az egyik ilyen instabil részecske az úgynevezett „éta-vessző” mezon, amely tulajdonságai ellenére meglepően nagy tömegű. A nagy hőmérsékletű közegben azonban a helyreálló kvantumszimmetriák következtében egyfajta „tékozló fiúként” térhet vissza a kistömegű társai közé</w:t>
      </w:r>
      <w:r>
        <w:t>. Ezt a jelenséget ahhoz is hasonlíthatjuk, mintha egy ikerpár egyik, kissé túlsúlyos fele, a tökéletes kvarkfolyadékba mártva hirtelen elveszítené tömegének közel felét és soványabb ikertestvéréhez hasonló tömegűvé válna. A folyamat végén megszűnik a tökéletes kvarkfolyadék, és az „éta-vessző” mezonok újra túlsúlyossá válnak, rendkívül gyorsan, mintegy 10</w:t>
      </w:r>
      <w:r>
        <w:rPr>
          <w:vertAlign w:val="superscript"/>
        </w:rPr>
        <w:t>-23</w:t>
      </w:r>
      <w:r>
        <w:t xml:space="preserve"> másodperc alatt. </w:t>
      </w:r>
      <w:r w:rsidRPr="00655473">
        <w:t>Ez ismereteink szerint a világon megfigyelt leggyorsabb tömegcsökkenési vagy fogyási folyamat -- melyet hasonlóan gyors tömegnövekedés, vagy hízási folyamat is követ.</w:t>
      </w:r>
      <w:r>
        <w:t xml:space="preserve"> Erről a felfedezésről 2011-ben készült egy angol nyelvű ismeretterjesztő anyag is, amely az „</w:t>
      </w:r>
      <w:proofErr w:type="spellStart"/>
      <w:r>
        <w:t>Inside</w:t>
      </w:r>
      <w:proofErr w:type="spellEnd"/>
      <w:r>
        <w:t xml:space="preserve"> RHIC</w:t>
      </w:r>
      <w:r w:rsidR="00655473">
        <w:t>”</w:t>
      </w:r>
      <w:r>
        <w:t xml:space="preserve"> </w:t>
      </w:r>
      <w:r w:rsidR="00655473">
        <w:t>magazin</w:t>
      </w:r>
      <w:r>
        <w:t xml:space="preserve"> 2011. január 11-i </w:t>
      </w:r>
      <w:hyperlink r:id="rId13">
        <w:r>
          <w:rPr>
            <w:rStyle w:val="Internet-hivatkozs"/>
          </w:rPr>
          <w:t>számában</w:t>
        </w:r>
      </w:hyperlink>
      <w:r>
        <w:t xml:space="preserve"> olvasható. Ez a </w:t>
      </w:r>
      <w:hyperlink r:id="rId14">
        <w:r>
          <w:rPr>
            <w:rStyle w:val="Internet-hivatkozs"/>
          </w:rPr>
          <w:t>korábbi sajtóanyag</w:t>
        </w:r>
      </w:hyperlink>
      <w:r>
        <w:t xml:space="preserve"> </w:t>
      </w:r>
      <w:hyperlink r:id="rId15">
        <w:r>
          <w:rPr>
            <w:rStyle w:val="Internet-hivatkozs"/>
          </w:rPr>
          <w:t>magyarul is</w:t>
        </w:r>
      </w:hyperlink>
      <w:r>
        <w:t xml:space="preserve"> elérhető. </w:t>
      </w:r>
      <w:r>
        <w:rPr>
          <w:b/>
          <w:bCs/>
        </w:rPr>
        <w:t xml:space="preserve">A tékozló fiúként viselkedő részecskéknek, az éta-vessző mezonoknak a tökéletes kvarkfolyadékban 2011-ben megfigyelt jelentős tömegcsökkenése a PHENIX kísérlet legújabb, igen részletesen és alaposan megmért, és 2018-ban </w:t>
      </w:r>
      <w:hyperlink r:id="rId16">
        <w:r>
          <w:rPr>
            <w:rStyle w:val="Internet-hivatkozs"/>
            <w:b/>
            <w:bCs/>
          </w:rPr>
          <w:t>szakcikkünkben közölt</w:t>
        </w:r>
      </w:hyperlink>
      <w:r>
        <w:rPr>
          <w:b/>
          <w:bCs/>
        </w:rPr>
        <w:t xml:space="preserve"> adatainak sem mond ellent. </w:t>
      </w:r>
      <w:r>
        <w:t>További részletes vizsgálatok elvégzésre van azonban szükség, például ennek a jelenségnek további, közvetlenebb és a kvantumstatisztikus korrelációktól független módszerekkel történő megvizsgálását is tervezzük, hogy megvizsgálhassuk, más jelenség okozhat-e esetleg hasonló mérési eredményeket.</w:t>
      </w:r>
    </w:p>
    <w:p w:rsidR="0056179B" w:rsidRDefault="0056179B" w:rsidP="0056179B">
      <w:pPr>
        <w:jc w:val="center"/>
      </w:pPr>
      <w:r>
        <w:rPr>
          <w:i/>
          <w:sz w:val="28"/>
        </w:rPr>
        <w:lastRenderedPageBreak/>
        <w:t>Magyar részvétel</w:t>
      </w:r>
    </w:p>
    <w:p w:rsidR="00FF7D40" w:rsidRDefault="0056179B">
      <w:pPr>
        <w:jc w:val="both"/>
      </w:pPr>
      <w:r>
        <w:t xml:space="preserve">A PHENIX kísérletben résztvevő magyar intézmények közül az Eötvös Loránd Egyetem, az Eszterházy Károly Egyetem és az MTA Wigner Fizikai Kutatóközpont a </w:t>
      </w:r>
      <w:r>
        <w:rPr>
          <w:b/>
          <w:bCs/>
        </w:rPr>
        <w:t>Csanád Máté</w:t>
      </w:r>
      <w:r>
        <w:t xml:space="preserve"> (Eötvös Loránd Egyetem, Atomfizikai Tanszék) által vezetett</w:t>
      </w:r>
      <w:r>
        <w:rPr>
          <w:b/>
          <w:bCs/>
        </w:rPr>
        <w:t xml:space="preserve"> PHENIX-Magyarország</w:t>
      </w:r>
      <w:r>
        <w:t xml:space="preserve"> csoportban, egymással is együttműködve vesz részt; a PHENIX kísérletben önállóan résztvevő, negyedik magyar intézmény pedig a Debreceni Egyetem. A PHENIX-Magyarország kutatócsoport honlapja a </w:t>
      </w:r>
      <w:hyperlink r:id="rId17">
        <w:r>
          <w:rPr>
            <w:rStyle w:val="Internet-hivatkozs"/>
          </w:rPr>
          <w:t>phenix.elte.hu</w:t>
        </w:r>
      </w:hyperlink>
      <w:r>
        <w:t xml:space="preserve"> címen érhető el.</w:t>
      </w:r>
    </w:p>
    <w:p w:rsidR="00FF7D40" w:rsidRDefault="0056179B">
      <w:pPr>
        <w:jc w:val="both"/>
      </w:pPr>
      <w:r>
        <w:t xml:space="preserve">A PHENIX kísérlet jelen összefoglalóban ismertetett szakcikkét a magyar csoport </w:t>
      </w:r>
      <w:r>
        <w:rPr>
          <w:b/>
        </w:rPr>
        <w:t>Csanád Máté</w:t>
      </w:r>
      <w:r>
        <w:t xml:space="preserve"> (ELTE) vezetésével készítette el, az analízist elvégző és cikkelőkészítő bizottság magyar tagjai a következők voltak: </w:t>
      </w:r>
      <w:r>
        <w:rPr>
          <w:b/>
        </w:rPr>
        <w:t>Csörgő Tamás</w:t>
      </w:r>
      <w:r>
        <w:t xml:space="preserve"> (MTA Wigner FK, Eszterházy Károly Egyetem), </w:t>
      </w:r>
      <w:r>
        <w:rPr>
          <w:b/>
        </w:rPr>
        <w:t>Kincses Dániel</w:t>
      </w:r>
      <w:r>
        <w:t xml:space="preserve"> (ELTE), </w:t>
      </w:r>
      <w:proofErr w:type="spellStart"/>
      <w:r>
        <w:rPr>
          <w:b/>
        </w:rPr>
        <w:t>Lökös</w:t>
      </w:r>
      <w:proofErr w:type="spellEnd"/>
      <w:r>
        <w:rPr>
          <w:b/>
        </w:rPr>
        <w:t xml:space="preserve"> Sándor</w:t>
      </w:r>
      <w:r>
        <w:t xml:space="preserve"> (ELTE és Eszterházy Károly Egyetem), </w:t>
      </w:r>
      <w:r>
        <w:rPr>
          <w:b/>
        </w:rPr>
        <w:t>Nagy Márton</w:t>
      </w:r>
      <w:r>
        <w:t xml:space="preserve"> (ELTE) és </w:t>
      </w:r>
      <w:proofErr w:type="spellStart"/>
      <w:r>
        <w:rPr>
          <w:b/>
        </w:rPr>
        <w:t>Wes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Metzger</w:t>
      </w:r>
      <w:proofErr w:type="spellEnd"/>
      <w:r>
        <w:t xml:space="preserve"> (</w:t>
      </w:r>
      <w:proofErr w:type="spellStart"/>
      <w:r>
        <w:t>Nijmegeni</w:t>
      </w:r>
      <w:proofErr w:type="spellEnd"/>
      <w:r>
        <w:t xml:space="preserve"> Egyetem és Eszterházy Károly Egyetem). A publikáció további magyar társszerzői: Bagoly Attila (ELTE), Dávid Gábor (</w:t>
      </w:r>
      <w:proofErr w:type="spellStart"/>
      <w:r>
        <w:t>Brookhaveni</w:t>
      </w:r>
      <w:proofErr w:type="spellEnd"/>
      <w:r>
        <w:t xml:space="preserve"> Nemzeti Laboratórium és </w:t>
      </w:r>
      <w:proofErr w:type="spellStart"/>
      <w:r>
        <w:t>Stony</w:t>
      </w:r>
      <w:proofErr w:type="spellEnd"/>
      <w:r>
        <w:t xml:space="preserve"> Brook Egyetem), </w:t>
      </w:r>
      <w:proofErr w:type="spellStart"/>
      <w:r>
        <w:t>Imrek</w:t>
      </w:r>
      <w:proofErr w:type="spellEnd"/>
      <w:r>
        <w:t xml:space="preserve"> József (Debreceni Egyetem), Kasza Gábor (ELTE és Eszterházy Károly Egyetem), Kiss Ádám (ELTE), Novák Tamás (Eszterházy Károly Egyetem), </w:t>
      </w:r>
      <w:proofErr w:type="spellStart"/>
      <w:r>
        <w:t>Novitzky</w:t>
      </w:r>
      <w:proofErr w:type="spellEnd"/>
      <w:r>
        <w:t xml:space="preserve"> Norbert (</w:t>
      </w:r>
      <w:proofErr w:type="spellStart"/>
      <w:r w:rsidRPr="0056179B">
        <w:t>Jyväskylä</w:t>
      </w:r>
      <w:proofErr w:type="spellEnd"/>
      <w:r w:rsidRPr="0056179B">
        <w:t xml:space="preserve"> </w:t>
      </w:r>
      <w:r>
        <w:t xml:space="preserve">Egyetem és </w:t>
      </w:r>
      <w:proofErr w:type="spellStart"/>
      <w:r>
        <w:t>Stony</w:t>
      </w:r>
      <w:proofErr w:type="spellEnd"/>
      <w:r>
        <w:t xml:space="preserve"> Brook Egyetem), </w:t>
      </w:r>
      <w:proofErr w:type="spellStart"/>
      <w:r>
        <w:t>Ster</w:t>
      </w:r>
      <w:proofErr w:type="spellEnd"/>
      <w:r>
        <w:t xml:space="preserve"> András (MTA Wigner FK), Sziklai János (MTA Wigner FK), Tárnai Gábor (Debreceni Egyetem), </w:t>
      </w:r>
      <w:proofErr w:type="spellStart"/>
      <w:r>
        <w:t>Vargyas</w:t>
      </w:r>
      <w:proofErr w:type="spellEnd"/>
      <w:r>
        <w:t xml:space="preserve"> Márton (ELTE és MTA Wigner FK) és </w:t>
      </w:r>
      <w:r w:rsidR="006947CF">
        <w:t>Vértesi Róbert (MTA Wigner FK).</w:t>
      </w:r>
    </w:p>
    <w:p w:rsidR="00FF7D40" w:rsidRDefault="0056179B">
      <w:pPr>
        <w:spacing w:after="0"/>
        <w:jc w:val="both"/>
      </w:pPr>
      <w:r>
        <w:t>A szakcikket a PHENIX kísérlet magyar kutatói bemutatták számos rangos nemzetközi konferencián, kollégáikkal a szükséges szakmai vitákat lefolytatták, és az eredményeket különféle konferenciaanyagokban is közölték:</w:t>
      </w:r>
    </w:p>
    <w:p w:rsidR="00FF7D40" w:rsidRDefault="0056179B">
      <w:pPr>
        <w:pStyle w:val="Listaszerbekezds"/>
        <w:numPr>
          <w:ilvl w:val="0"/>
          <w:numId w:val="2"/>
        </w:numPr>
        <w:jc w:val="both"/>
      </w:pPr>
      <w:r>
        <w:t xml:space="preserve">Kincses Dániel (a PHENIX együttműködés nevében), </w:t>
      </w:r>
      <w:proofErr w:type="spellStart"/>
      <w:r>
        <w:rPr>
          <w:rStyle w:val="Ershangslyozs1"/>
          <w:b w:val="0"/>
          <w:i/>
          <w:iCs/>
          <w:color w:val="000000"/>
        </w:rPr>
        <w:t>Acta</w:t>
      </w:r>
      <w:proofErr w:type="spellEnd"/>
      <w:r>
        <w:rPr>
          <w:rStyle w:val="Ershangslyozs1"/>
          <w:b w:val="0"/>
          <w:i/>
          <w:iCs/>
          <w:color w:val="000000"/>
        </w:rPr>
        <w:t xml:space="preserve"> </w:t>
      </w:r>
      <w:proofErr w:type="spellStart"/>
      <w:r>
        <w:rPr>
          <w:rStyle w:val="Ershangslyozs1"/>
          <w:b w:val="0"/>
          <w:i/>
          <w:iCs/>
          <w:color w:val="000000"/>
        </w:rPr>
        <w:t>Phys</w:t>
      </w:r>
      <w:proofErr w:type="spellEnd"/>
      <w:r>
        <w:rPr>
          <w:rStyle w:val="Ershangslyozs1"/>
          <w:b w:val="0"/>
          <w:i/>
          <w:iCs/>
          <w:color w:val="000000"/>
        </w:rPr>
        <w:t xml:space="preserve">. Polon. </w:t>
      </w:r>
      <w:proofErr w:type="spellStart"/>
      <w:r>
        <w:rPr>
          <w:rStyle w:val="Ershangslyozs1"/>
          <w:b w:val="0"/>
          <w:i/>
          <w:iCs/>
          <w:color w:val="000000"/>
        </w:rPr>
        <w:t>Supp</w:t>
      </w:r>
      <w:proofErr w:type="spellEnd"/>
      <w:r>
        <w:rPr>
          <w:rStyle w:val="Ershangslyozs1"/>
          <w:b w:val="0"/>
          <w:i/>
          <w:iCs/>
          <w:color w:val="000000"/>
        </w:rPr>
        <w:t xml:space="preserve">. </w:t>
      </w:r>
      <w:r>
        <w:rPr>
          <w:rStyle w:val="Ershangslyozs1"/>
          <w:color w:val="000000"/>
        </w:rPr>
        <w:t xml:space="preserve">10 </w:t>
      </w:r>
      <w:r>
        <w:rPr>
          <w:rStyle w:val="Ershangslyozs1"/>
          <w:b w:val="0"/>
          <w:color w:val="000000"/>
        </w:rPr>
        <w:t>(2017) 627-631</w:t>
      </w:r>
    </w:p>
    <w:p w:rsidR="00FF7D40" w:rsidRDefault="0056179B">
      <w:pPr>
        <w:pStyle w:val="Listaszerbekezds"/>
        <w:numPr>
          <w:ilvl w:val="0"/>
          <w:numId w:val="2"/>
        </w:numPr>
      </w:pPr>
      <w:r>
        <w:t xml:space="preserve">Csanád Máté (a PHENIX együttműködés nevében), </w:t>
      </w:r>
      <w:proofErr w:type="spellStart"/>
      <w:r>
        <w:rPr>
          <w:i/>
          <w:iCs/>
        </w:rPr>
        <w:t>Universe</w:t>
      </w:r>
      <w:proofErr w:type="spellEnd"/>
      <w:r>
        <w:rPr>
          <w:b/>
        </w:rPr>
        <w:t xml:space="preserve"> 3 </w:t>
      </w:r>
      <w:r>
        <w:t>(2017) no.4, 85</w:t>
      </w:r>
    </w:p>
    <w:p w:rsidR="00FF7D40" w:rsidRDefault="0056179B">
      <w:pPr>
        <w:pStyle w:val="Listaszerbekezds"/>
        <w:numPr>
          <w:ilvl w:val="0"/>
          <w:numId w:val="2"/>
        </w:numPr>
        <w:spacing w:after="0"/>
      </w:pPr>
      <w:r>
        <w:t xml:space="preserve">Csanád Máté (a PHENIX együttműködés nevében), </w:t>
      </w:r>
      <w:proofErr w:type="spellStart"/>
      <w:r>
        <w:rPr>
          <w:i/>
        </w:rPr>
        <w:t>Il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Nuovo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Cimento</w:t>
      </w:r>
      <w:proofErr w:type="spellEnd"/>
      <w:r>
        <w:rPr>
          <w:i/>
        </w:rPr>
        <w:t xml:space="preserve"> </w:t>
      </w:r>
      <w:r>
        <w:rPr>
          <w:b/>
        </w:rPr>
        <w:t>40 C</w:t>
      </w:r>
      <w:r>
        <w:t xml:space="preserve"> (2017), 195</w:t>
      </w:r>
    </w:p>
    <w:p w:rsidR="00FF7D40" w:rsidRDefault="00FF7D40">
      <w:pPr>
        <w:spacing w:after="0"/>
        <w:contextualSpacing/>
      </w:pPr>
    </w:p>
    <w:p w:rsidR="00FF7D40" w:rsidRDefault="0056179B">
      <w:r>
        <w:t xml:space="preserve">A PHENIX kísérlet szakcikke az </w:t>
      </w:r>
      <w:hyperlink r:id="rId18">
        <w:r>
          <w:rPr>
            <w:rStyle w:val="Internet-hivatkozs"/>
          </w:rPr>
          <w:t>arxiv.org/abs/1709.05649</w:t>
        </w:r>
      </w:hyperlink>
      <w:r>
        <w:t xml:space="preserve"> címen a nagyközönség számára is elérhető.  A cikket a szakmai bírálatok után, 2018 április 23-án </w:t>
      </w:r>
      <w:hyperlink r:id="rId19" w:history="1">
        <w:r w:rsidRPr="0056179B">
          <w:rPr>
            <w:rStyle w:val="Hiperhivatkozs"/>
          </w:rPr>
          <w:t>közlésre elfogadta</w:t>
        </w:r>
      </w:hyperlink>
      <w:r>
        <w:t xml:space="preserve"> az Amerikai Fizikai Társulat vezető mag- és nehézionfizikai folyóirata, a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Review</w:t>
      </w:r>
      <w:proofErr w:type="spellEnd"/>
      <w:r>
        <w:t xml:space="preserve"> C.</w:t>
      </w:r>
    </w:p>
    <w:p w:rsidR="00FF7D40" w:rsidRDefault="0056179B" w:rsidP="0056179B">
      <w:pPr>
        <w:spacing w:after="0"/>
        <w:jc w:val="both"/>
      </w:pPr>
      <w:r>
        <w:t>Végül, de nem utolsó sorban köszönetet szeretnénk mondani a PHENIX-es kutatásainkat támogató szervezeteknek:</w:t>
      </w:r>
    </w:p>
    <w:p w:rsidR="00FF7D40" w:rsidRDefault="007B08B1">
      <w:pPr>
        <w:numPr>
          <w:ilvl w:val="0"/>
          <w:numId w:val="1"/>
        </w:numPr>
        <w:ind w:left="714" w:hanging="357"/>
        <w:contextualSpacing/>
        <w:jc w:val="both"/>
      </w:pPr>
      <w:hyperlink r:id="rId20">
        <w:r w:rsidR="0056179B">
          <w:rPr>
            <w:rStyle w:val="Internet-hivatkozs"/>
          </w:rPr>
          <w:t>Charles Simonyi Kutatói Ösztöndíj Bizottság</w:t>
        </w:r>
      </w:hyperlink>
    </w:p>
    <w:p w:rsidR="00FF7D40" w:rsidRDefault="007B08B1">
      <w:pPr>
        <w:numPr>
          <w:ilvl w:val="0"/>
          <w:numId w:val="1"/>
        </w:numPr>
        <w:ind w:left="714" w:hanging="357"/>
        <w:contextualSpacing/>
        <w:jc w:val="both"/>
      </w:pPr>
      <w:hyperlink r:id="rId21">
        <w:r w:rsidR="0056179B">
          <w:rPr>
            <w:rStyle w:val="Internet-hivatkozs"/>
          </w:rPr>
          <w:t>Emberi Erőforrások Minisztériuma</w:t>
        </w:r>
      </w:hyperlink>
      <w:r w:rsidR="0056179B">
        <w:t xml:space="preserve">, </w:t>
      </w:r>
      <w:hyperlink r:id="rId22">
        <w:r w:rsidR="0056179B">
          <w:rPr>
            <w:rStyle w:val="Internet-hivatkozs"/>
          </w:rPr>
          <w:t>Új Nemzeti Kiválóság Program</w:t>
        </w:r>
      </w:hyperlink>
    </w:p>
    <w:p w:rsidR="00FF7D40" w:rsidRDefault="007B08B1">
      <w:pPr>
        <w:numPr>
          <w:ilvl w:val="0"/>
          <w:numId w:val="1"/>
        </w:numPr>
        <w:ind w:left="714" w:hanging="357"/>
        <w:contextualSpacing/>
        <w:jc w:val="both"/>
      </w:pPr>
      <w:hyperlink r:id="rId23" w:tgtFrame="_blank">
        <w:r w:rsidR="0056179B">
          <w:rPr>
            <w:rStyle w:val="Internet-hivatkozs"/>
          </w:rPr>
          <w:t>Fulbright Magyar-Amerikai Oktatási Csereprogram Bizottság</w:t>
        </w:r>
      </w:hyperlink>
      <w:r w:rsidR="0056179B">
        <w:t xml:space="preserve"> </w:t>
      </w:r>
    </w:p>
    <w:p w:rsidR="00FF7D40" w:rsidRDefault="007B08B1">
      <w:pPr>
        <w:numPr>
          <w:ilvl w:val="0"/>
          <w:numId w:val="1"/>
        </w:numPr>
        <w:ind w:left="714" w:hanging="357"/>
        <w:contextualSpacing/>
        <w:jc w:val="both"/>
      </w:pPr>
      <w:hyperlink r:id="rId24" w:tgtFrame="_blank">
        <w:r w:rsidR="0056179B">
          <w:rPr>
            <w:rStyle w:val="Internet-hivatkozs"/>
          </w:rPr>
          <w:t xml:space="preserve">HAESF - </w:t>
        </w:r>
        <w:proofErr w:type="spellStart"/>
        <w:r w:rsidR="0056179B">
          <w:rPr>
            <w:rStyle w:val="Internet-hivatkozs"/>
          </w:rPr>
          <w:t>Hungarian</w:t>
        </w:r>
        <w:proofErr w:type="spellEnd"/>
        <w:r w:rsidR="0056179B">
          <w:rPr>
            <w:rStyle w:val="Internet-hivatkozs"/>
          </w:rPr>
          <w:t xml:space="preserve"> American Enterprise </w:t>
        </w:r>
        <w:proofErr w:type="spellStart"/>
        <w:r w:rsidR="0056179B">
          <w:rPr>
            <w:rStyle w:val="Internet-hivatkozs"/>
          </w:rPr>
          <w:t>Scholarship</w:t>
        </w:r>
        <w:proofErr w:type="spellEnd"/>
        <w:r w:rsidR="0056179B">
          <w:rPr>
            <w:rStyle w:val="Internet-hivatkozs"/>
          </w:rPr>
          <w:t xml:space="preserve"> </w:t>
        </w:r>
        <w:proofErr w:type="spellStart"/>
        <w:r w:rsidR="0056179B">
          <w:rPr>
            <w:rStyle w:val="Internet-hivatkozs"/>
          </w:rPr>
          <w:t>Fund</w:t>
        </w:r>
        <w:proofErr w:type="spellEnd"/>
      </w:hyperlink>
    </w:p>
    <w:p w:rsidR="00FF7D40" w:rsidRDefault="007B08B1">
      <w:pPr>
        <w:numPr>
          <w:ilvl w:val="0"/>
          <w:numId w:val="1"/>
        </w:numPr>
        <w:ind w:left="714" w:hanging="357"/>
        <w:contextualSpacing/>
        <w:jc w:val="both"/>
      </w:pPr>
      <w:hyperlink r:id="rId25" w:tgtFrame="_blank">
        <w:r w:rsidR="0056179B">
          <w:rPr>
            <w:rStyle w:val="Internet-hivatkozs"/>
          </w:rPr>
          <w:t>Magyar Tudományos Akadémia</w:t>
        </w:r>
      </w:hyperlink>
      <w:r w:rsidR="0056179B">
        <w:t xml:space="preserve">, </w:t>
      </w:r>
      <w:hyperlink r:id="rId26">
        <w:r w:rsidR="0056179B">
          <w:rPr>
            <w:rStyle w:val="Internet-hivatkozs"/>
          </w:rPr>
          <w:t>Bolyai János Kutatási Ösztöndíj</w:t>
        </w:r>
      </w:hyperlink>
    </w:p>
    <w:p w:rsidR="00FF7D40" w:rsidRDefault="007B08B1">
      <w:pPr>
        <w:numPr>
          <w:ilvl w:val="0"/>
          <w:numId w:val="1"/>
        </w:numPr>
        <w:ind w:left="714" w:hanging="357"/>
        <w:contextualSpacing/>
        <w:jc w:val="both"/>
      </w:pPr>
      <w:hyperlink r:id="rId27" w:tgtFrame="_blank">
        <w:r w:rsidR="0056179B">
          <w:rPr>
            <w:rStyle w:val="Internet-hivatkozs"/>
          </w:rPr>
          <w:t>OTKA</w:t>
        </w:r>
      </w:hyperlink>
      <w:r w:rsidR="0056179B">
        <w:t>/</w:t>
      </w:r>
      <w:hyperlink r:id="rId28">
        <w:r w:rsidR="0056179B">
          <w:rPr>
            <w:rStyle w:val="Internet-hivatkozs"/>
          </w:rPr>
          <w:t>NKFIH</w:t>
        </w:r>
      </w:hyperlink>
    </w:p>
    <w:p w:rsidR="00FF7D40" w:rsidRDefault="007B08B1">
      <w:pPr>
        <w:numPr>
          <w:ilvl w:val="0"/>
          <w:numId w:val="1"/>
        </w:numPr>
        <w:ind w:left="714" w:hanging="357"/>
        <w:contextualSpacing/>
      </w:pPr>
      <w:hyperlink r:id="rId29" w:tgtFrame="_blank">
        <w:r w:rsidR="0056179B">
          <w:rPr>
            <w:rStyle w:val="Internet-hivatkozs"/>
          </w:rPr>
          <w:t xml:space="preserve">US National Science </w:t>
        </w:r>
        <w:proofErr w:type="spellStart"/>
        <w:r w:rsidR="0056179B">
          <w:rPr>
            <w:rStyle w:val="Internet-hivatkozs"/>
          </w:rPr>
          <w:t>Foundation</w:t>
        </w:r>
        <w:proofErr w:type="spellEnd"/>
      </w:hyperlink>
    </w:p>
    <w:p w:rsidR="00FF7D40" w:rsidRDefault="007B08B1">
      <w:pPr>
        <w:numPr>
          <w:ilvl w:val="0"/>
          <w:numId w:val="1"/>
        </w:numPr>
        <w:ind w:left="714" w:hanging="357"/>
        <w:contextualSpacing/>
      </w:pPr>
      <w:hyperlink r:id="rId30" w:tgtFrame="_blank">
        <w:r w:rsidR="0056179B">
          <w:rPr>
            <w:rStyle w:val="Internet-hivatkozs"/>
          </w:rPr>
          <w:t xml:space="preserve">US </w:t>
        </w:r>
        <w:proofErr w:type="spellStart"/>
        <w:r w:rsidR="0056179B">
          <w:rPr>
            <w:rStyle w:val="Internet-hivatkozs"/>
          </w:rPr>
          <w:t>Department</w:t>
        </w:r>
        <w:proofErr w:type="spellEnd"/>
        <w:r w:rsidR="0056179B">
          <w:rPr>
            <w:rStyle w:val="Internet-hivatkozs"/>
          </w:rPr>
          <w:t xml:space="preserve"> of </w:t>
        </w:r>
        <w:proofErr w:type="spellStart"/>
        <w:r w:rsidR="0056179B">
          <w:rPr>
            <w:rStyle w:val="Internet-hivatkozs"/>
          </w:rPr>
          <w:t>Energy</w:t>
        </w:r>
        <w:proofErr w:type="spellEnd"/>
        <w:r w:rsidR="0056179B">
          <w:rPr>
            <w:rStyle w:val="Internet-hivatkozs"/>
          </w:rPr>
          <w:t>, Office of Science</w:t>
        </w:r>
      </w:hyperlink>
      <w:r w:rsidR="0056179B">
        <w:t xml:space="preserve"> </w:t>
      </w:r>
    </w:p>
    <w:p w:rsidR="00FF7D40" w:rsidRDefault="00655473" w:rsidP="00655473">
      <w:pPr>
        <w:contextualSpacing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3761740</wp:posOffset>
            </wp:positionH>
            <wp:positionV relativeFrom="paragraph">
              <wp:posOffset>847090</wp:posOffset>
            </wp:positionV>
            <wp:extent cx="2899410" cy="809625"/>
            <wp:effectExtent l="0" t="0" r="0" b="9525"/>
            <wp:wrapNone/>
            <wp:docPr id="8" name="Kép 7" descr="C:\Users\csana\AppData\Local\Microsoft\Windows\INetCache\Content.Word\NKFIA_infoblokk_projekt_fekvo_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7" descr="C:\Users\csana\AppData\Local\Microsoft\Windows\INetCache\Content.Word\NKFIA_infoblokk_projekt_fekvo_HU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6179B">
        <w:rPr>
          <w:noProof/>
        </w:rPr>
        <w:drawing>
          <wp:inline distT="0" distB="0" distL="0" distR="0">
            <wp:extent cx="3838575" cy="2390775"/>
            <wp:effectExtent l="0" t="0" r="0" b="0"/>
            <wp:docPr id="7" name="Kép 5" descr="https://www.phenix.bnl.gov/WWW/run/drawing/PHENIX_inst.201501.fla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5" descr="https://www.phenix.bnl.gov/WWW/run/drawing/PHENIX_inst.201501.flags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7797" w:type="dxa"/>
        <w:tblInd w:w="1701" w:type="dxa"/>
        <w:tblCellMar>
          <w:left w:w="5" w:type="dxa"/>
          <w:right w:w="0" w:type="dxa"/>
        </w:tblCellMar>
        <w:tblLook w:val="04A0" w:firstRow="1" w:lastRow="0" w:firstColumn="1" w:lastColumn="0" w:noHBand="0" w:noVBand="1"/>
      </w:tblPr>
      <w:tblGrid>
        <w:gridCol w:w="1507"/>
        <w:gridCol w:w="6290"/>
      </w:tblGrid>
      <w:tr w:rsidR="00FF7D40"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D40" w:rsidRDefault="0056179B">
            <w:pPr>
              <w:jc w:val="right"/>
            </w:pPr>
            <w:r>
              <w:object w:dxaOrig="731" w:dyaOrig="400">
                <v:shape id="ole_rId31" o:spid="_x0000_i1025" style="width:64.5pt;height:35.25pt" coordsize="" o:spt="100" adj="0,,0" path="" stroked="f">
                  <v:stroke joinstyle="miter"/>
                  <v:imagedata r:id="rId33" o:title=""/>
                  <v:formulas/>
                  <v:path o:connecttype="segments"/>
                </v:shape>
                <o:OLEObject Type="Embed" ProgID="PBrush" ShapeID="ole_rId31" DrawAspect="Content" ObjectID="_1588070603" r:id="rId34"/>
              </w:object>
            </w:r>
          </w:p>
        </w:tc>
        <w:tc>
          <w:tcPr>
            <w:tcW w:w="6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D40" w:rsidRDefault="0056179B">
            <w:pPr>
              <w:jc w:val="center"/>
            </w:pPr>
            <w:r>
              <w:rPr>
                <w:sz w:val="24"/>
              </w:rPr>
              <w:t>A kutatást az MTA Bolyai János Kutatási Ösztöndíja támogatta</w:t>
            </w:r>
          </w:p>
        </w:tc>
      </w:tr>
    </w:tbl>
    <w:p w:rsidR="00FF7D40" w:rsidRDefault="0056179B">
      <w:r>
        <w:rPr>
          <w:noProof/>
        </w:rPr>
        <w:drawing>
          <wp:inline distT="0" distB="0" distL="0" distR="0">
            <wp:extent cx="6477000" cy="342900"/>
            <wp:effectExtent l="0" t="0" r="0" b="0"/>
            <wp:docPr id="9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D40">
      <w:pgSz w:w="11906" w:h="16838"/>
      <w:pgMar w:top="567" w:right="707" w:bottom="568" w:left="709" w:header="0" w:footer="0" w:gutter="0"/>
      <w:cols w:space="708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 PL SungtiL GB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A6E50"/>
    <w:multiLevelType w:val="multilevel"/>
    <w:tmpl w:val="678E08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0A06C7B"/>
    <w:multiLevelType w:val="multilevel"/>
    <w:tmpl w:val="07D4C76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F4C5616"/>
    <w:multiLevelType w:val="multilevel"/>
    <w:tmpl w:val="A7387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D40"/>
    <w:rsid w:val="0032782B"/>
    <w:rsid w:val="0056179B"/>
    <w:rsid w:val="00655473"/>
    <w:rsid w:val="006947CF"/>
    <w:rsid w:val="007B08B1"/>
    <w:rsid w:val="00FF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858F30"/>
  <w15:docId w15:val="{C444A6B4-3182-40B3-8757-D4BAA1BE2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Internet-hivatkozs">
    <w:name w:val="Internet-hivatkozás"/>
    <w:basedOn w:val="Bekezdsalapbettpusa"/>
    <w:uiPriority w:val="99"/>
    <w:unhideWhenUsed/>
    <w:rsid w:val="000929B2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qFormat/>
    <w:rsid w:val="00141C4B"/>
    <w:rPr>
      <w:color w:val="808080"/>
      <w:shd w:val="clear" w:color="auto" w:fill="E6E6E6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Felsorolsjel">
    <w:name w:val="Felsorolásjel"/>
    <w:qFormat/>
    <w:rPr>
      <w:rFonts w:ascii="OpenSymbol" w:eastAsia="OpenSymbol" w:hAnsi="OpenSymbol" w:cs="OpenSymbol"/>
    </w:rPr>
  </w:style>
  <w:style w:type="character" w:customStyle="1" w:styleId="Ershangslyozs">
    <w:name w:val="Erős hangsúlyozás"/>
    <w:qFormat/>
    <w:rPr>
      <w:b/>
      <w:bCs/>
    </w:rPr>
  </w:style>
  <w:style w:type="character" w:customStyle="1" w:styleId="Ershangslyozs1">
    <w:name w:val="Erős hangsúlyozás1"/>
    <w:qFormat/>
    <w:rsid w:val="00E207A6"/>
    <w:rPr>
      <w:b/>
      <w:bCs/>
    </w:rPr>
  </w:style>
  <w:style w:type="character" w:customStyle="1" w:styleId="ListLabel10">
    <w:name w:val="ListLabel 10"/>
    <w:qFormat/>
    <w:rPr>
      <w:rFonts w:cs="Symbol"/>
      <w:sz w:val="20"/>
    </w:rPr>
  </w:style>
  <w:style w:type="character" w:customStyle="1" w:styleId="ListLabel11">
    <w:name w:val="ListLabel 11"/>
    <w:qFormat/>
    <w:rPr>
      <w:rFonts w:cs="Courier New"/>
      <w:sz w:val="20"/>
    </w:rPr>
  </w:style>
  <w:style w:type="character" w:customStyle="1" w:styleId="ListLabel12">
    <w:name w:val="ListLabel 12"/>
    <w:qFormat/>
    <w:rPr>
      <w:rFonts w:cs="Wingdings"/>
      <w:sz w:val="20"/>
    </w:rPr>
  </w:style>
  <w:style w:type="character" w:customStyle="1" w:styleId="ListLabel13">
    <w:name w:val="ListLabel 13"/>
    <w:qFormat/>
    <w:rPr>
      <w:rFonts w:cs="Wingdings"/>
      <w:sz w:val="20"/>
    </w:rPr>
  </w:style>
  <w:style w:type="character" w:customStyle="1" w:styleId="ListLabel14">
    <w:name w:val="ListLabel 14"/>
    <w:qFormat/>
    <w:rPr>
      <w:rFonts w:cs="Wingdings"/>
      <w:sz w:val="20"/>
    </w:rPr>
  </w:style>
  <w:style w:type="character" w:customStyle="1" w:styleId="ListLabel15">
    <w:name w:val="ListLabel 15"/>
    <w:qFormat/>
    <w:rPr>
      <w:rFonts w:cs="Wingdings"/>
      <w:sz w:val="20"/>
    </w:rPr>
  </w:style>
  <w:style w:type="character" w:customStyle="1" w:styleId="ListLabel16">
    <w:name w:val="ListLabel 16"/>
    <w:qFormat/>
    <w:rPr>
      <w:rFonts w:cs="Wingdings"/>
      <w:sz w:val="20"/>
    </w:rPr>
  </w:style>
  <w:style w:type="character" w:customStyle="1" w:styleId="ListLabel17">
    <w:name w:val="ListLabel 17"/>
    <w:qFormat/>
    <w:rPr>
      <w:rFonts w:cs="Wingdings"/>
      <w:sz w:val="20"/>
    </w:rPr>
  </w:style>
  <w:style w:type="character" w:customStyle="1" w:styleId="ListLabel18">
    <w:name w:val="ListLabel 18"/>
    <w:qFormat/>
    <w:rPr>
      <w:rFonts w:cs="Wingdings"/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Symbol"/>
      <w:sz w:val="20"/>
    </w:rPr>
  </w:style>
  <w:style w:type="character" w:customStyle="1" w:styleId="ListLabel23">
    <w:name w:val="ListLabel 23"/>
    <w:qFormat/>
    <w:rPr>
      <w:rFonts w:cs="Courier New"/>
      <w:sz w:val="20"/>
    </w:rPr>
  </w:style>
  <w:style w:type="character" w:customStyle="1" w:styleId="ListLabel24">
    <w:name w:val="ListLabel 24"/>
    <w:qFormat/>
    <w:rPr>
      <w:rFonts w:cs="Wingdings"/>
      <w:sz w:val="20"/>
    </w:rPr>
  </w:style>
  <w:style w:type="character" w:customStyle="1" w:styleId="ListLabel25">
    <w:name w:val="ListLabel 25"/>
    <w:qFormat/>
    <w:rPr>
      <w:rFonts w:cs="Wingdings"/>
      <w:sz w:val="20"/>
    </w:rPr>
  </w:style>
  <w:style w:type="character" w:customStyle="1" w:styleId="ListLabel26">
    <w:name w:val="ListLabel 26"/>
    <w:qFormat/>
    <w:rPr>
      <w:rFonts w:cs="Wingdings"/>
      <w:sz w:val="20"/>
    </w:rPr>
  </w:style>
  <w:style w:type="character" w:customStyle="1" w:styleId="ListLabel27">
    <w:name w:val="ListLabel 27"/>
    <w:qFormat/>
    <w:rPr>
      <w:rFonts w:cs="Wingdings"/>
      <w:sz w:val="20"/>
    </w:rPr>
  </w:style>
  <w:style w:type="character" w:customStyle="1" w:styleId="ListLabel28">
    <w:name w:val="ListLabel 28"/>
    <w:qFormat/>
    <w:rPr>
      <w:rFonts w:cs="Wingdings"/>
      <w:sz w:val="20"/>
    </w:rPr>
  </w:style>
  <w:style w:type="character" w:customStyle="1" w:styleId="ListLabel29">
    <w:name w:val="ListLabel 29"/>
    <w:qFormat/>
    <w:rPr>
      <w:rFonts w:cs="Wingdings"/>
      <w:sz w:val="20"/>
    </w:rPr>
  </w:style>
  <w:style w:type="character" w:customStyle="1" w:styleId="ListLabel30">
    <w:name w:val="ListLabel 30"/>
    <w:qFormat/>
    <w:rPr>
      <w:rFonts w:cs="Wingdings"/>
      <w:sz w:val="20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AR PL SungtiL GB" w:hAnsi="Liberation Sans" w:cs="Lohit Devanagari"/>
      <w:sz w:val="28"/>
      <w:szCs w:val="28"/>
    </w:rPr>
  </w:style>
  <w:style w:type="paragraph" w:styleId="Szvegtrzs">
    <w:name w:val="Body Text"/>
    <w:basedOn w:val="Norml"/>
    <w:pPr>
      <w:spacing w:after="140" w:line="288" w:lineRule="auto"/>
    </w:pPr>
  </w:style>
  <w:style w:type="paragraph" w:styleId="Lista">
    <w:name w:val="List"/>
    <w:basedOn w:val="Szvegtrzs"/>
    <w:rPr>
      <w:rFonts w:cs="Lohit Devanagari"/>
    </w:rPr>
  </w:style>
  <w:style w:type="paragraph" w:styleId="Kpalrs">
    <w:name w:val="caption"/>
    <w:basedOn w:val="Norml"/>
    <w:uiPriority w:val="35"/>
    <w:semiHidden/>
    <w:unhideWhenUsed/>
    <w:qFormat/>
    <w:rsid w:val="009D72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Trgymutat">
    <w:name w:val="Tárgymutató"/>
    <w:basedOn w:val="Norml"/>
    <w:qFormat/>
    <w:pPr>
      <w:suppressLineNumbers/>
    </w:pPr>
    <w:rPr>
      <w:rFonts w:cs="Lohit Devanagari"/>
    </w:rPr>
  </w:style>
  <w:style w:type="paragraph" w:customStyle="1" w:styleId="Tblzattartalom">
    <w:name w:val="Táblázattartalom"/>
    <w:basedOn w:val="Norml"/>
    <w:qFormat/>
    <w:pPr>
      <w:suppressLineNumbers/>
    </w:pPr>
  </w:style>
  <w:style w:type="paragraph" w:customStyle="1" w:styleId="Tblzatfejlc">
    <w:name w:val="Táblázatfejléc"/>
    <w:basedOn w:val="Tblzattartalom"/>
    <w:qFormat/>
    <w:pPr>
      <w:jc w:val="center"/>
    </w:pPr>
    <w:rPr>
      <w:b/>
      <w:bCs/>
    </w:rPr>
  </w:style>
  <w:style w:type="paragraph" w:styleId="Listaszerbekezds">
    <w:name w:val="List Paragraph"/>
    <w:basedOn w:val="Norml"/>
    <w:uiPriority w:val="34"/>
    <w:qFormat/>
    <w:rsid w:val="003816DE"/>
    <w:pPr>
      <w:ind w:left="720"/>
      <w:contextualSpacing/>
    </w:pPr>
  </w:style>
  <w:style w:type="table" w:styleId="Rcsostblzat">
    <w:name w:val="Table Grid"/>
    <w:basedOn w:val="Normltblzat"/>
    <w:uiPriority w:val="39"/>
    <w:rsid w:val="003D7A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56179B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5617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0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nl.gov/rhic/inside/news.php?a=22193" TargetMode="External"/><Relationship Id="rId18" Type="http://schemas.openxmlformats.org/officeDocument/2006/relationships/hyperlink" Target="https://arxiv.org/abs/1709.05649" TargetMode="External"/><Relationship Id="rId26" Type="http://schemas.openxmlformats.org/officeDocument/2006/relationships/hyperlink" Target="http://mta.hu/bolyai-osztondij" TargetMode="External"/><Relationship Id="rId21" Type="http://schemas.openxmlformats.org/officeDocument/2006/relationships/hyperlink" Target="http://www.kormany.hu/hu/emberi-eroforrasok-miniszteriuma" TargetMode="External"/><Relationship Id="rId34" Type="http://schemas.openxmlformats.org/officeDocument/2006/relationships/oleObject" Target="embeddings/oleObject1.bin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://phenix.elte.hu/" TargetMode="External"/><Relationship Id="rId25" Type="http://schemas.openxmlformats.org/officeDocument/2006/relationships/hyperlink" Target="http://www.mta.hu/" TargetMode="External"/><Relationship Id="rId33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hyperlink" Target="https://arxiv.org/abs/1709.05649" TargetMode="External"/><Relationship Id="rId20" Type="http://schemas.openxmlformats.org/officeDocument/2006/relationships/hyperlink" Target="http://kih.gov.hu/charles-simonyi-kutatoi-osztondij/-/asset_publisher/KlJACS1DL52H/content/dontes-a-charles-simonyi-kutatoi-osztondij-odaiteleser-2?redirect=http%3A%2F%2Fkih.gov.hu%2Fcharles-simonyi-kutatoi-osztondij%3Fp_p_id%3D101_INSTANCE_KlJACS1DL52H%26p_p_lifecycle%3D0%26p_p_state%3Dnormal%26p_p_mode%3Dview%26p_p_col_id%3Dcolumn-2%26p_p_col_count%3D1" TargetMode="External"/><Relationship Id="rId29" Type="http://schemas.openxmlformats.org/officeDocument/2006/relationships/hyperlink" Target="http://www.nsf.gov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hyperlink" Target="http://www.haesf.org/" TargetMode="External"/><Relationship Id="rId32" Type="http://schemas.openxmlformats.org/officeDocument/2006/relationships/image" Target="media/image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heol.hu/heves/kozelet-heves/tudomanyos-felfedezes-megyei-siker-335624/" TargetMode="External"/><Relationship Id="rId23" Type="http://schemas.openxmlformats.org/officeDocument/2006/relationships/hyperlink" Target="http://www.fulbright.hu/" TargetMode="External"/><Relationship Id="rId28" Type="http://schemas.openxmlformats.org/officeDocument/2006/relationships/hyperlink" Target="http://nkfih.gov.hu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phenix.elte.hu/docs/smallQGP_news.pdf" TargetMode="External"/><Relationship Id="rId19" Type="http://schemas.openxmlformats.org/officeDocument/2006/relationships/hyperlink" Target="https://journals.aps.org/prc/accepted/3f079Pf2W881610a558d55a327eedd6c604c7d753" TargetMode="External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indico.cern.ch/event/300974/" TargetMode="External"/><Relationship Id="rId14" Type="http://schemas.openxmlformats.org/officeDocument/2006/relationships/hyperlink" Target="https://www.kfki.hu/~csorgo/press/101026/Fokusz-fogyasztas-rekord-ido-alatt.pdf" TargetMode="External"/><Relationship Id="rId22" Type="http://schemas.openxmlformats.org/officeDocument/2006/relationships/hyperlink" Target="http://www.elte.hu/unkp" TargetMode="External"/><Relationship Id="rId27" Type="http://schemas.openxmlformats.org/officeDocument/2006/relationships/hyperlink" Target="http://www.otka.hu/" TargetMode="External"/><Relationship Id="rId30" Type="http://schemas.openxmlformats.org/officeDocument/2006/relationships/hyperlink" Target="http://www.science.doe.gov/" TargetMode="External"/><Relationship Id="rId35" Type="http://schemas.openxmlformats.org/officeDocument/2006/relationships/image" Target="media/image10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1417</Words>
  <Characters>9780</Characters>
  <Application>Microsoft Office Word</Application>
  <DocSecurity>0</DocSecurity>
  <Lines>81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Csanad Mate</dc:creator>
  <dc:description/>
  <cp:lastModifiedBy>Csanad Mate</cp:lastModifiedBy>
  <cp:revision>3</cp:revision>
  <cp:lastPrinted>2018-05-14T10:13:00Z</cp:lastPrinted>
  <dcterms:created xsi:type="dcterms:W3CDTF">2018-05-17T11:50:00Z</dcterms:created>
  <dcterms:modified xsi:type="dcterms:W3CDTF">2018-05-17T11:57:00Z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